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0B996" w14:textId="56E8B5C9" w:rsidR="000A69D4" w:rsidRPr="008A24D6" w:rsidRDefault="000A69D4" w:rsidP="00B1125A">
      <w:pPr>
        <w:tabs>
          <w:tab w:val="center" w:pos="4536"/>
          <w:tab w:val="right" w:pos="7938"/>
          <w:tab w:val="right" w:pos="9639"/>
        </w:tabs>
        <w:jc w:val="both"/>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8A24D6">
        <w:rPr>
          <w:rFonts w:ascii="Arial" w:hAnsi="Arial" w:cs="Arial"/>
          <w:b/>
          <w:bCs/>
          <w:sz w:val="22"/>
          <w:szCs w:val="20"/>
        </w:rPr>
        <w:t>3GPP TSG RAN WG1 #121</w:t>
      </w:r>
      <w:r w:rsidRPr="008A24D6">
        <w:rPr>
          <w:rFonts w:ascii="Arial" w:hAnsi="Arial" w:cs="Arial"/>
          <w:b/>
          <w:bCs/>
          <w:sz w:val="22"/>
          <w:szCs w:val="20"/>
        </w:rPr>
        <w:tab/>
      </w:r>
      <w:r w:rsidRPr="008A24D6">
        <w:rPr>
          <w:rFonts w:ascii="Arial" w:hAnsi="Arial" w:cs="Arial"/>
          <w:b/>
          <w:bCs/>
          <w:sz w:val="22"/>
          <w:szCs w:val="20"/>
        </w:rPr>
        <w:tab/>
      </w:r>
      <w:r w:rsidR="00B1125A">
        <w:rPr>
          <w:rFonts w:ascii="Arial" w:hAnsi="Arial" w:cs="Arial"/>
          <w:b/>
          <w:bCs/>
          <w:sz w:val="22"/>
          <w:szCs w:val="20"/>
        </w:rPr>
        <w:t xml:space="preserve">             </w:t>
      </w:r>
      <w:r w:rsidRPr="008A24D6">
        <w:rPr>
          <w:rFonts w:ascii="Arial" w:hAnsi="Arial" w:cs="Arial"/>
          <w:b/>
          <w:bCs/>
          <w:sz w:val="22"/>
          <w:szCs w:val="20"/>
        </w:rPr>
        <w:t xml:space="preserve">       </w:t>
      </w:r>
      <w:r w:rsidR="00B1125A">
        <w:rPr>
          <w:rFonts w:ascii="Arial" w:hAnsi="Arial" w:cs="Arial"/>
          <w:b/>
          <w:bCs/>
          <w:sz w:val="22"/>
          <w:szCs w:val="20"/>
        </w:rPr>
        <w:t xml:space="preserve">                           </w:t>
      </w:r>
      <w:r w:rsidRPr="008A24D6">
        <w:rPr>
          <w:rFonts w:ascii="Arial" w:hAnsi="Arial" w:cs="Arial"/>
          <w:b/>
          <w:bCs/>
          <w:sz w:val="22"/>
          <w:szCs w:val="20"/>
        </w:rPr>
        <w:t>R1-</w:t>
      </w:r>
      <w:r w:rsidR="008A24D6" w:rsidRPr="008A24D6">
        <w:rPr>
          <w:rFonts w:ascii="Arial" w:hAnsi="Arial" w:cs="Arial"/>
          <w:b/>
          <w:bCs/>
          <w:sz w:val="22"/>
          <w:szCs w:val="20"/>
        </w:rPr>
        <w:t>250</w:t>
      </w:r>
      <w:r w:rsidR="008A24D6">
        <w:rPr>
          <w:rFonts w:ascii="Arial" w:hAnsi="Arial" w:cs="Arial"/>
          <w:b/>
          <w:bCs/>
          <w:sz w:val="22"/>
          <w:szCs w:val="20"/>
        </w:rPr>
        <w:t>3396</w:t>
      </w:r>
    </w:p>
    <w:p w14:paraId="546F388E" w14:textId="57BEECFF" w:rsidR="000B6708" w:rsidRPr="000B6708" w:rsidRDefault="000A69D4" w:rsidP="000B6708">
      <w:pPr>
        <w:tabs>
          <w:tab w:val="center" w:pos="4536"/>
          <w:tab w:val="right" w:pos="7938"/>
          <w:tab w:val="right" w:pos="9639"/>
        </w:tabs>
        <w:ind w:right="2"/>
        <w:rPr>
          <w:rFonts w:ascii="Arial" w:hAnsi="Arial" w:cs="Arial"/>
          <w:b/>
          <w:bCs/>
          <w:sz w:val="22"/>
          <w:szCs w:val="20"/>
        </w:rPr>
      </w:pPr>
      <w:r w:rsidRPr="008A24D6">
        <w:rPr>
          <w:rFonts w:ascii="Arial" w:eastAsia="MS Mincho" w:hAnsi="Arial" w:cs="Arial"/>
          <w:b/>
          <w:bCs/>
          <w:sz w:val="22"/>
          <w:szCs w:val="20"/>
          <w:lang w:eastAsia="ja-JP"/>
        </w:rPr>
        <w:t xml:space="preserve">St Julian’s, Malta, </w:t>
      </w:r>
      <w:r w:rsidRPr="008A24D6">
        <w:rPr>
          <w:rFonts w:ascii="Malgun Gothic" w:eastAsia="Malgun Gothic" w:hAnsi="Malgun Gothic" w:cs="Malgun Gothic"/>
          <w:b/>
          <w:bCs/>
          <w:sz w:val="22"/>
          <w:szCs w:val="20"/>
          <w:lang w:eastAsia="ko-KR"/>
        </w:rPr>
        <w:t xml:space="preserve">May </w:t>
      </w:r>
      <w:r w:rsidRPr="008A24D6">
        <w:rPr>
          <w:rFonts w:ascii="Arial" w:eastAsia="MS Mincho" w:hAnsi="Arial" w:cs="Arial"/>
          <w:b/>
          <w:bCs/>
          <w:sz w:val="22"/>
          <w:szCs w:val="20"/>
          <w:lang w:eastAsia="ja-JP"/>
        </w:rPr>
        <w:t>19</w:t>
      </w:r>
      <w:r w:rsidRPr="008A24D6">
        <w:rPr>
          <w:rFonts w:ascii="Malgun Gothic" w:eastAsia="Malgun Gothic" w:hAnsi="Malgun Gothic" w:cs="Malgun Gothic"/>
          <w:b/>
          <w:bCs/>
          <w:sz w:val="22"/>
          <w:szCs w:val="20"/>
          <w:vertAlign w:val="superscript"/>
          <w:lang w:eastAsia="ko-KR"/>
        </w:rPr>
        <w:t>th</w:t>
      </w:r>
      <w:r w:rsidRPr="008A24D6">
        <w:rPr>
          <w:rFonts w:ascii="Arial" w:eastAsia="MS Mincho" w:hAnsi="Arial" w:cs="Arial"/>
          <w:b/>
          <w:bCs/>
          <w:sz w:val="22"/>
          <w:szCs w:val="20"/>
          <w:lang w:eastAsia="ja-JP"/>
        </w:rPr>
        <w:t xml:space="preserve"> </w:t>
      </w:r>
      <w:r w:rsidRPr="008A24D6">
        <w:rPr>
          <w:rFonts w:ascii="Arial" w:hAnsi="Arial" w:cs="Arial"/>
          <w:b/>
          <w:bCs/>
          <w:sz w:val="22"/>
          <w:szCs w:val="20"/>
        </w:rPr>
        <w:t xml:space="preserve">– </w:t>
      </w:r>
      <w:r w:rsidR="00C4679D" w:rsidRPr="008A24D6">
        <w:rPr>
          <w:rFonts w:ascii="Arial" w:hAnsi="Arial" w:cs="Arial"/>
          <w:b/>
          <w:bCs/>
          <w:sz w:val="22"/>
          <w:szCs w:val="20"/>
        </w:rPr>
        <w:t>23</w:t>
      </w:r>
      <w:r w:rsidR="00C4679D">
        <w:rPr>
          <w:rFonts w:ascii="Arial" w:hAnsi="Arial" w:cs="Arial"/>
          <w:b/>
          <w:bCs/>
          <w:sz w:val="22"/>
          <w:szCs w:val="20"/>
          <w:vertAlign w:val="superscript"/>
        </w:rPr>
        <w:t>rd</w:t>
      </w:r>
      <w:r w:rsidRPr="008A24D6">
        <w:rPr>
          <w:rFonts w:ascii="Arial" w:eastAsia="MS Mincho" w:hAnsi="Arial" w:cs="Arial"/>
          <w:b/>
          <w:bCs/>
          <w:sz w:val="22"/>
          <w:szCs w:val="20"/>
          <w:lang w:eastAsia="ja-JP"/>
        </w:rPr>
        <w:t>,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0338A5BF"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0A69D4" w:rsidRPr="000A69D4">
        <w:rPr>
          <w:rFonts w:ascii="Arial" w:hAnsi="Arial"/>
          <w:b/>
          <w:sz w:val="22"/>
          <w:szCs w:val="20"/>
        </w:rPr>
        <w:t>Discussion on UE features for Low band carrier aggregation via switching</w:t>
      </w:r>
    </w:p>
    <w:p w14:paraId="122DEF67" w14:textId="2F3B4896"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5C2728">
        <w:rPr>
          <w:rFonts w:ascii="Arial" w:hAnsi="Arial"/>
          <w:b/>
          <w:sz w:val="22"/>
          <w:szCs w:val="22"/>
        </w:rPr>
        <w:t>15.1</w:t>
      </w:r>
      <w:r w:rsidR="000A69D4">
        <w:rPr>
          <w:rFonts w:ascii="Arial" w:hAnsi="Arial"/>
          <w:b/>
          <w:sz w:val="22"/>
          <w:szCs w:val="22"/>
        </w:rPr>
        <w:t>2</w:t>
      </w:r>
    </w:p>
    <w:p w14:paraId="17F9AE64" w14:textId="62D6DEE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p>
    <w:p w14:paraId="07BFD942" w14:textId="3B2A699F" w:rsidR="00051223" w:rsidRDefault="00440004" w:rsidP="00051223">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961F416" w14:textId="47604CC2" w:rsidR="00051223" w:rsidRPr="00C83953" w:rsidRDefault="00051223" w:rsidP="00051223">
      <w:pPr>
        <w:spacing w:before="120" w:after="120"/>
        <w:jc w:val="both"/>
        <w:rPr>
          <w:rFonts w:eastAsiaTheme="minorEastAsia"/>
          <w:lang w:eastAsia="zh-CN"/>
        </w:rPr>
      </w:pPr>
      <w:r w:rsidRPr="00C83953">
        <w:rPr>
          <w:rFonts w:eastAsiaTheme="minorEastAsia"/>
          <w:lang w:eastAsia="zh-CN"/>
        </w:rPr>
        <w:t>In</w:t>
      </w:r>
      <w:r w:rsidR="0085168E">
        <w:rPr>
          <w:rFonts w:eastAsiaTheme="minorEastAsia"/>
          <w:lang w:eastAsia="zh-CN"/>
        </w:rPr>
        <w:t xml:space="preserve"> the</w:t>
      </w:r>
      <w:r w:rsidRPr="00C83953">
        <w:rPr>
          <w:rFonts w:eastAsiaTheme="minorEastAsia"/>
          <w:lang w:eastAsia="zh-CN"/>
        </w:rPr>
        <w:t xml:space="preserve"> RAN#10</w:t>
      </w:r>
      <w:r>
        <w:rPr>
          <w:rFonts w:eastAsiaTheme="minorEastAsia"/>
          <w:lang w:eastAsia="zh-CN"/>
        </w:rPr>
        <w:t>6</w:t>
      </w:r>
      <w:r w:rsidR="0085168E">
        <w:rPr>
          <w:rFonts w:eastAsiaTheme="minorEastAsia"/>
          <w:lang w:eastAsia="zh-CN"/>
        </w:rPr>
        <w:t xml:space="preserve"> meeting</w:t>
      </w:r>
      <w:r w:rsidRPr="00C83953">
        <w:rPr>
          <w:rFonts w:eastAsiaTheme="minorEastAsia"/>
          <w:lang w:eastAsia="zh-CN"/>
        </w:rPr>
        <w:t xml:space="preserve">, a </w:t>
      </w:r>
      <w:r w:rsidRPr="00C83953">
        <w:rPr>
          <w:rFonts w:eastAsia="宋体"/>
          <w:lang w:eastAsia="zh-CN"/>
        </w:rPr>
        <w:t xml:space="preserve">new WID </w:t>
      </w:r>
      <w:r>
        <w:t xml:space="preserve">on </w:t>
      </w:r>
      <w:r w:rsidRPr="007A7378">
        <w:t>low band carrier aggregation via switching</w:t>
      </w:r>
      <w:r>
        <w:t xml:space="preserve"> was approved</w:t>
      </w:r>
      <w:r>
        <w:rPr>
          <w:rFonts w:eastAsiaTheme="minorEastAsia"/>
          <w:b/>
          <w:bCs/>
          <w:lang w:eastAsia="zh-CN"/>
        </w:rPr>
        <w:fldChar w:fldCharType="begin"/>
      </w:r>
      <w:r>
        <w:instrText xml:space="preserve"> REF _Ref194061991 \r \h </w:instrText>
      </w:r>
      <w:r>
        <w:rPr>
          <w:rFonts w:eastAsiaTheme="minorEastAsia"/>
          <w:b/>
          <w:bCs/>
          <w:lang w:eastAsia="zh-CN"/>
        </w:rPr>
      </w:r>
      <w:r>
        <w:rPr>
          <w:rFonts w:eastAsiaTheme="minorEastAsia"/>
          <w:b/>
          <w:bCs/>
          <w:lang w:eastAsia="zh-CN"/>
        </w:rPr>
        <w:fldChar w:fldCharType="separate"/>
      </w:r>
      <w:r>
        <w:t>[1]</w:t>
      </w:r>
      <w:r>
        <w:rPr>
          <w:rFonts w:eastAsiaTheme="minorEastAsia"/>
          <w:b/>
          <w:bCs/>
          <w:lang w:eastAsia="zh-CN"/>
        </w:rPr>
        <w:fldChar w:fldCharType="end"/>
      </w:r>
      <w:r w:rsidRPr="00C83953">
        <w:rPr>
          <w:rFonts w:eastAsiaTheme="minorEastAsia"/>
          <w:lang w:eastAsia="zh-CN"/>
        </w:rPr>
        <w:t xml:space="preserve">. The objectives of the </w:t>
      </w:r>
      <w:r w:rsidRPr="00824310">
        <w:t>LB</w:t>
      </w:r>
      <w:r>
        <w:t>-</w:t>
      </w:r>
      <w:r w:rsidRPr="00824310">
        <w:t>CA work item</w:t>
      </w:r>
      <w:r w:rsidRPr="00C83953">
        <w:rPr>
          <w:rFonts w:eastAsiaTheme="minorEastAsia"/>
          <w:lang w:eastAsia="zh-CN"/>
        </w:rPr>
        <w:t xml:space="preserve"> are shown as follows. In this contribution, </w:t>
      </w:r>
      <w:r>
        <w:rPr>
          <w:rFonts w:eastAsiaTheme="minorEastAsia"/>
          <w:lang w:eastAsia="zh-CN"/>
        </w:rPr>
        <w:t xml:space="preserve">the UE capability discussion </w:t>
      </w:r>
      <w:r w:rsidRPr="00C83953">
        <w:rPr>
          <w:rFonts w:eastAsiaTheme="minorEastAsia"/>
          <w:lang w:eastAsia="zh-CN"/>
        </w:rPr>
        <w:t xml:space="preserve">on the </w:t>
      </w:r>
      <w:r w:rsidRPr="007A7378">
        <w:t>low band carrier aggregation via switching</w:t>
      </w:r>
      <w:r w:rsidRPr="00C83953">
        <w:rPr>
          <w:rFonts w:eastAsiaTheme="minorEastAsia"/>
          <w:lang w:eastAsia="zh-CN"/>
        </w:rPr>
        <w:t xml:space="preserve"> </w:t>
      </w:r>
      <w:r>
        <w:rPr>
          <w:rFonts w:eastAsiaTheme="minorEastAsia"/>
          <w:lang w:eastAsia="zh-CN"/>
        </w:rPr>
        <w:t>are</w:t>
      </w:r>
      <w:r w:rsidRPr="00C83953">
        <w:rPr>
          <w:rFonts w:eastAsiaTheme="minorEastAsia"/>
          <w:lang w:eastAsia="zh-CN"/>
        </w:rPr>
        <w:t xml:space="preserve"> provided.</w:t>
      </w:r>
    </w:p>
    <w:tbl>
      <w:tblPr>
        <w:tblStyle w:val="ac"/>
        <w:tblW w:w="0" w:type="auto"/>
        <w:tblLook w:val="04A0" w:firstRow="1" w:lastRow="0" w:firstColumn="1" w:lastColumn="0" w:noHBand="0" w:noVBand="1"/>
      </w:tblPr>
      <w:tblGrid>
        <w:gridCol w:w="9060"/>
      </w:tblGrid>
      <w:tr w:rsidR="00051223" w:rsidRPr="00C83953" w14:paraId="3CECE466" w14:textId="77777777" w:rsidTr="0088080C">
        <w:tc>
          <w:tcPr>
            <w:tcW w:w="9060" w:type="dxa"/>
          </w:tcPr>
          <w:p w14:paraId="0DDDAF29" w14:textId="77777777" w:rsidR="00051223" w:rsidRPr="00FA2AF3" w:rsidRDefault="00051223" w:rsidP="00051223">
            <w:pPr>
              <w:pStyle w:val="B1"/>
              <w:numPr>
                <w:ilvl w:val="0"/>
                <w:numId w:val="96"/>
              </w:numPr>
            </w:pPr>
            <w:r>
              <w:t xml:space="preserve">Specify UE requirements, </w:t>
            </w:r>
            <w:r w:rsidRPr="00783310">
              <w:t>including at least switching gap (if needed)</w:t>
            </w:r>
            <w:r>
              <w:t>, and corresponding physical layer procedures to allow switching between {case 1, case 2} [RAN4, RAN1]</w:t>
            </w:r>
          </w:p>
          <w:p w14:paraId="0C957018" w14:textId="77777777" w:rsidR="00051223" w:rsidRDefault="00051223" w:rsidP="0088080C">
            <w:pPr>
              <w:pStyle w:val="B2"/>
              <w:ind w:left="567"/>
            </w:pPr>
            <w:r>
              <w:t>-</w:t>
            </w:r>
            <w:r>
              <w:tab/>
              <w:t>Case 1: Tx/Rx on FDD carrier 1 and no Rx on SDL carrier 2</w:t>
            </w:r>
          </w:p>
          <w:p w14:paraId="5BFA0509" w14:textId="77777777" w:rsidR="00051223" w:rsidRDefault="00051223" w:rsidP="0088080C">
            <w:pPr>
              <w:pStyle w:val="B2"/>
              <w:ind w:left="567"/>
            </w:pPr>
            <w:r>
              <w:t>-</w:t>
            </w:r>
            <w:r>
              <w:tab/>
              <w:t>Case 2: Rx on SDL carrier 2 and no Tx/Rx on FDD carrier 1</w:t>
            </w:r>
          </w:p>
          <w:p w14:paraId="21A00C94" w14:textId="77777777" w:rsidR="00051223" w:rsidRDefault="00051223" w:rsidP="0088080C">
            <w:pPr>
              <w:pStyle w:val="B2"/>
              <w:ind w:left="567"/>
            </w:pPr>
            <w:r>
              <w:t>-</w:t>
            </w:r>
            <w:r>
              <w:tab/>
              <w:t>RAN1 to specify only a semi-static switching pattern based on RRC configuration, liaising with RAN2 and RAN4 as necessary</w:t>
            </w:r>
          </w:p>
          <w:p w14:paraId="140F493C" w14:textId="77777777" w:rsidR="00051223" w:rsidRDefault="00051223" w:rsidP="0088080C">
            <w:pPr>
              <w:pStyle w:val="B2"/>
              <w:ind w:left="567"/>
            </w:pPr>
            <w:r>
              <w:t>-</w:t>
            </w:r>
            <w:r>
              <w:tab/>
              <w:t>Specify the switching delay and time mask for carrier switching [RAN4]</w:t>
            </w:r>
          </w:p>
          <w:p w14:paraId="29793081" w14:textId="77777777" w:rsidR="00051223" w:rsidRDefault="00051223" w:rsidP="0088080C">
            <w:pPr>
              <w:pStyle w:val="B1"/>
              <w:ind w:left="284"/>
            </w:pPr>
            <w:r>
              <w:t>-</w:t>
            </w:r>
            <w:r>
              <w:tab/>
              <w:t xml:space="preserve">Specify </w:t>
            </w:r>
            <w:r w:rsidRPr="00A03BD2">
              <w:t>necessary RRM requirements</w:t>
            </w:r>
            <w:r>
              <w:t xml:space="preserve"> </w:t>
            </w:r>
            <w:r w:rsidRPr="00A03BD2">
              <w:t>[RAN4]</w:t>
            </w:r>
          </w:p>
          <w:p w14:paraId="29469710" w14:textId="77777777" w:rsidR="00051223" w:rsidRDefault="00051223" w:rsidP="0088080C">
            <w:pPr>
              <w:pStyle w:val="B1"/>
              <w:ind w:left="284"/>
            </w:pPr>
            <w:r>
              <w:t>-</w:t>
            </w:r>
            <w:r>
              <w:tab/>
            </w:r>
            <w:r w:rsidRPr="00A03BD2">
              <w:t>Define the corresponding UE capabilities [RAN4, RAN2, RAN1]</w:t>
            </w:r>
          </w:p>
          <w:p w14:paraId="141DFE42" w14:textId="77777777" w:rsidR="00051223" w:rsidRDefault="00051223" w:rsidP="0088080C">
            <w:pPr>
              <w:pStyle w:val="B1"/>
              <w:ind w:left="284"/>
            </w:pPr>
            <w:r>
              <w:t>-</w:t>
            </w:r>
            <w:r>
              <w:tab/>
              <w:t>Consider the following deployment constraints:</w:t>
            </w:r>
          </w:p>
          <w:p w14:paraId="5DAFDB5A" w14:textId="77777777" w:rsidR="00051223" w:rsidRDefault="00051223" w:rsidP="0088080C">
            <w:pPr>
              <w:pStyle w:val="B2"/>
              <w:ind w:left="567"/>
            </w:pPr>
            <w:r>
              <w:t>-</w:t>
            </w:r>
            <w:r>
              <w:tab/>
              <w:t>The carrier frequency for all cases is &lt;1 GHz</w:t>
            </w:r>
          </w:p>
          <w:p w14:paraId="3E7F006F" w14:textId="77777777" w:rsidR="00051223" w:rsidRDefault="00051223" w:rsidP="0088080C">
            <w:pPr>
              <w:pStyle w:val="B2"/>
              <w:ind w:left="567"/>
            </w:pPr>
            <w:r>
              <w:t>-</w:t>
            </w:r>
            <w:r>
              <w:tab/>
              <w:t>Co-located and synchronized network deployment for both carriers</w:t>
            </w:r>
          </w:p>
          <w:p w14:paraId="29407C04" w14:textId="77777777" w:rsidR="00051223" w:rsidRDefault="00051223" w:rsidP="0088080C">
            <w:pPr>
              <w:pStyle w:val="B2"/>
              <w:ind w:left="567"/>
            </w:pPr>
            <w:r>
              <w:t>-</w:t>
            </w:r>
            <w:r>
              <w:tab/>
              <w:t>Both carriers are in a single TAG</w:t>
            </w:r>
          </w:p>
          <w:p w14:paraId="29E26931" w14:textId="77777777" w:rsidR="00051223" w:rsidRDefault="00051223" w:rsidP="0088080C">
            <w:pPr>
              <w:pStyle w:val="B2"/>
              <w:ind w:left="567"/>
            </w:pPr>
            <w:r>
              <w:t>-</w:t>
            </w:r>
            <w:r>
              <w:tab/>
              <w:t>SCS 15KHz on both carriers</w:t>
            </w:r>
          </w:p>
          <w:p w14:paraId="6DEA3811" w14:textId="77777777" w:rsidR="00051223" w:rsidRDefault="00051223" w:rsidP="0088080C">
            <w:pPr>
              <w:pStyle w:val="B1"/>
              <w:ind w:left="284"/>
            </w:pPr>
            <w:r>
              <w:t>Note 1: Specify requirements for the feature with the following example band combination: CA_n5A-n29A in this WI, with additional band combinations to be handled via the basket work item approach</w:t>
            </w:r>
          </w:p>
          <w:p w14:paraId="4D75D804" w14:textId="77777777" w:rsidR="00051223" w:rsidRPr="00824310" w:rsidRDefault="00051223" w:rsidP="0088080C">
            <w:pPr>
              <w:pStyle w:val="B1"/>
              <w:ind w:left="284"/>
            </w:pPr>
            <w:r>
              <w:t>Note 2: Strive to minimize the RAN1 impact</w:t>
            </w:r>
          </w:p>
        </w:tc>
      </w:tr>
    </w:tbl>
    <w:p w14:paraId="6522C111" w14:textId="77777777" w:rsidR="00051223" w:rsidRPr="00051223" w:rsidRDefault="00051223" w:rsidP="00051223">
      <w:pPr>
        <w:rPr>
          <w:rFonts w:eastAsia="宋体"/>
        </w:rPr>
      </w:pPr>
    </w:p>
    <w:p w14:paraId="305A749D" w14:textId="77777777" w:rsidR="001F3E71" w:rsidRDefault="007F59B2" w:rsidP="001F3E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bookmarkStart w:id="7" w:name="_Hlk101275836"/>
      <w:r w:rsidRPr="00C83953">
        <w:rPr>
          <w:rFonts w:ascii="Arial" w:eastAsia="宋体" w:hAnsi="Arial"/>
          <w:sz w:val="36"/>
          <w:szCs w:val="36"/>
          <w:lang w:eastAsia="zh-CN"/>
        </w:rPr>
        <w:t xml:space="preserve">Discussion </w:t>
      </w:r>
    </w:p>
    <w:p w14:paraId="16FA33C7" w14:textId="54944C13" w:rsidR="008A24D6" w:rsidRPr="008A24D6" w:rsidRDefault="008A24D6" w:rsidP="00051223">
      <w:pPr>
        <w:jc w:val="both"/>
        <w:rPr>
          <w:rFonts w:eastAsia="宋体"/>
          <w:lang w:eastAsia="zh-CN"/>
        </w:rPr>
      </w:pPr>
      <w:r w:rsidRPr="008A24D6">
        <w:rPr>
          <w:rFonts w:eastAsia="宋体"/>
          <w:lang w:eastAsia="zh-CN"/>
        </w:rPr>
        <w:t>Since the low band CA via switching has been agreed to be supported, a new FG supporting low band CA via switching should be introduced.</w:t>
      </w:r>
      <w:r>
        <w:rPr>
          <w:rFonts w:eastAsia="宋体"/>
          <w:lang w:eastAsia="zh-CN"/>
        </w:rPr>
        <w:t xml:space="preserve"> Furthermore, </w:t>
      </w:r>
      <w:r w:rsidR="00051223">
        <w:rPr>
          <w:rFonts w:eastAsia="宋体"/>
          <w:lang w:eastAsia="zh-CN"/>
        </w:rPr>
        <w:t>the FG can include a component that a</w:t>
      </w:r>
      <w:r>
        <w:rPr>
          <w:rFonts w:eastAsia="宋体"/>
          <w:lang w:eastAsia="zh-CN"/>
        </w:rPr>
        <w:t xml:space="preserve"> r</w:t>
      </w:r>
      <w:r w:rsidRPr="008A24D6">
        <w:rPr>
          <w:rFonts w:eastAsia="宋体"/>
          <w:lang w:eastAsia="zh-CN"/>
        </w:rPr>
        <w:t>estriction of maximum X switch(es) within Y slot(s)</w:t>
      </w:r>
      <w:r w:rsidR="00051223">
        <w:rPr>
          <w:rFonts w:eastAsia="宋体"/>
          <w:lang w:eastAsia="zh-CN"/>
        </w:rPr>
        <w:t>.</w:t>
      </w:r>
      <w:r>
        <w:rPr>
          <w:rFonts w:eastAsia="宋体"/>
          <w:lang w:eastAsia="zh-CN"/>
        </w:rPr>
        <w:t xml:space="preserve"> </w:t>
      </w:r>
    </w:p>
    <w:p w14:paraId="68BDA506" w14:textId="3AA102F5" w:rsidR="000A69D4" w:rsidRDefault="00051223" w:rsidP="00051223">
      <w:pPr>
        <w:pStyle w:val="a8"/>
        <w:rPr>
          <w:b/>
          <w:bCs/>
        </w:rPr>
      </w:pPr>
      <w:bookmarkStart w:id="8" w:name="_Ref197525371"/>
      <w:r w:rsidRPr="00051223">
        <w:rPr>
          <w:b/>
          <w:bCs/>
        </w:rPr>
        <w:t xml:space="preserve">Proposal </w:t>
      </w:r>
      <w:r w:rsidRPr="00051223">
        <w:rPr>
          <w:b/>
          <w:bCs/>
        </w:rPr>
        <w:fldChar w:fldCharType="begin"/>
      </w:r>
      <w:r w:rsidRPr="00051223">
        <w:rPr>
          <w:b/>
          <w:bCs/>
        </w:rPr>
        <w:instrText xml:space="preserve"> SEQ Proposal \* ARABIC </w:instrText>
      </w:r>
      <w:r w:rsidRPr="00051223">
        <w:rPr>
          <w:b/>
          <w:bCs/>
        </w:rPr>
        <w:fldChar w:fldCharType="separate"/>
      </w:r>
      <w:r w:rsidR="00C4679D">
        <w:rPr>
          <w:b/>
          <w:bCs/>
          <w:noProof/>
        </w:rPr>
        <w:t>1</w:t>
      </w:r>
      <w:r w:rsidRPr="00051223">
        <w:rPr>
          <w:b/>
          <w:bCs/>
        </w:rPr>
        <w:fldChar w:fldCharType="end"/>
      </w:r>
      <w:r w:rsidRPr="00051223">
        <w:rPr>
          <w:b/>
          <w:bCs/>
        </w:rPr>
        <w:t>: Introduce a UE capability supporting Low band CA via switching</w:t>
      </w:r>
      <w:r w:rsidRPr="00051223">
        <w:rPr>
          <w:b/>
          <w:bCs/>
          <w:szCs w:val="24"/>
        </w:rPr>
        <w:t xml:space="preserve"> </w:t>
      </w:r>
      <w:r>
        <w:rPr>
          <w:b/>
          <w:bCs/>
        </w:rPr>
        <w:t>w</w:t>
      </w:r>
      <w:r w:rsidRPr="00051223">
        <w:rPr>
          <w:b/>
          <w:bCs/>
          <w:szCs w:val="24"/>
        </w:rPr>
        <w:t xml:space="preserve">hich </w:t>
      </w:r>
      <w:r>
        <w:rPr>
          <w:b/>
          <w:bCs/>
        </w:rPr>
        <w:t>i</w:t>
      </w:r>
      <w:r w:rsidRPr="00051223">
        <w:rPr>
          <w:b/>
          <w:bCs/>
          <w:szCs w:val="24"/>
        </w:rPr>
        <w:t>ncludes a component that a restriction of maximum X switch(es) within Y slot(s).</w:t>
      </w:r>
      <w:bookmarkEnd w:id="8"/>
    </w:p>
    <w:p w14:paraId="796B9D50" w14:textId="77777777" w:rsidR="00C4679D" w:rsidRPr="00C83953" w:rsidRDefault="00C4679D" w:rsidP="00C4679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307EFFE6" w14:textId="77777777" w:rsidR="00C4679D" w:rsidRDefault="00C4679D" w:rsidP="00C4679D">
      <w:pPr>
        <w:pStyle w:val="a8"/>
        <w:jc w:val="both"/>
        <w:rPr>
          <w:rFonts w:eastAsia="宋体"/>
        </w:rPr>
      </w:pPr>
      <w:r w:rsidRPr="00C83953">
        <w:rPr>
          <w:rFonts w:eastAsia="宋体"/>
          <w:lang w:eastAsia="zh-CN"/>
        </w:rPr>
        <w:t xml:space="preserve">In this contribution, </w:t>
      </w:r>
      <w:r w:rsidRPr="00C83953">
        <w:rPr>
          <w:rFonts w:eastAsia="宋体"/>
        </w:rPr>
        <w:t xml:space="preserve">the proposal </w:t>
      </w:r>
      <w:r>
        <w:rPr>
          <w:rFonts w:eastAsia="宋体"/>
        </w:rPr>
        <w:t>is</w:t>
      </w:r>
      <w:r w:rsidRPr="00C83953">
        <w:rPr>
          <w:rFonts w:eastAsia="宋体"/>
        </w:rPr>
        <w:t xml:space="preserve"> summarized as follows: </w:t>
      </w:r>
    </w:p>
    <w:p w14:paraId="132BDB85" w14:textId="77777777" w:rsidR="00C4679D" w:rsidRDefault="00C4679D" w:rsidP="00C4679D">
      <w:r>
        <w:lastRenderedPageBreak/>
        <w:fldChar w:fldCharType="begin"/>
      </w:r>
      <w:r>
        <w:instrText xml:space="preserve"> REF _Ref197525371 \h </w:instrText>
      </w:r>
      <w:r>
        <w:fldChar w:fldCharType="separate"/>
      </w:r>
      <w:r w:rsidRPr="00051223">
        <w:rPr>
          <w:b/>
          <w:bCs/>
        </w:rPr>
        <w:t xml:space="preserve">Proposal </w:t>
      </w:r>
      <w:r w:rsidRPr="00051223">
        <w:rPr>
          <w:b/>
          <w:bCs/>
          <w:noProof/>
        </w:rPr>
        <w:t>1</w:t>
      </w:r>
      <w:r w:rsidRPr="00051223">
        <w:rPr>
          <w:b/>
          <w:bCs/>
        </w:rPr>
        <w:t xml:space="preserve">: Introduce a UE capability supporting Low band CA via switching </w:t>
      </w:r>
      <w:r>
        <w:rPr>
          <w:b/>
          <w:bCs/>
        </w:rPr>
        <w:t>w</w:t>
      </w:r>
      <w:r w:rsidRPr="00051223">
        <w:rPr>
          <w:b/>
          <w:bCs/>
        </w:rPr>
        <w:t xml:space="preserve">hich </w:t>
      </w:r>
      <w:r>
        <w:rPr>
          <w:b/>
          <w:bCs/>
        </w:rPr>
        <w:t>i</w:t>
      </w:r>
      <w:r w:rsidRPr="00051223">
        <w:rPr>
          <w:b/>
          <w:bCs/>
        </w:rPr>
        <w:t>ncludes a component that a restriction of maximum X switch(es) within Y slot(s).</w:t>
      </w:r>
      <w:r>
        <w:fldChar w:fldCharType="end"/>
      </w:r>
    </w:p>
    <w:p w14:paraId="7FB3AD75" w14:textId="77777777" w:rsidR="00C4679D" w:rsidRDefault="00C4679D" w:rsidP="00C4679D">
      <w:pPr>
        <w:jc w:val="both"/>
      </w:pPr>
    </w:p>
    <w:p w14:paraId="7F3DBD96" w14:textId="4978A517" w:rsidR="00C4679D" w:rsidRPr="00C4679D" w:rsidRDefault="00C4679D" w:rsidP="00C4679D">
      <w:pPr>
        <w:pStyle w:val="a8"/>
        <w:rPr>
          <w:b/>
          <w:bCs/>
        </w:rPr>
        <w:sectPr w:rsidR="00C4679D" w:rsidRPr="00C4679D" w:rsidSect="00C4679D">
          <w:pgSz w:w="11906" w:h="16838"/>
          <w:pgMar w:top="992" w:right="1418" w:bottom="1418" w:left="1418" w:header="709" w:footer="709" w:gutter="0"/>
          <w:cols w:space="708"/>
          <w:docGrid w:linePitch="360"/>
        </w:sectPr>
      </w:pPr>
      <w:r w:rsidRPr="00C4679D">
        <w:rPr>
          <w:b/>
          <w:bCs/>
        </w:rPr>
        <w:t xml:space="preserve">Proposal </w:t>
      </w:r>
      <w:r w:rsidRPr="00C4679D">
        <w:rPr>
          <w:b/>
          <w:bCs/>
        </w:rPr>
        <w:fldChar w:fldCharType="begin"/>
      </w:r>
      <w:r w:rsidRPr="00C4679D">
        <w:rPr>
          <w:b/>
          <w:bCs/>
        </w:rPr>
        <w:instrText xml:space="preserve"> SEQ Proposal \* ARABIC </w:instrText>
      </w:r>
      <w:r w:rsidRPr="00C4679D">
        <w:rPr>
          <w:b/>
          <w:bCs/>
        </w:rPr>
        <w:fldChar w:fldCharType="separate"/>
      </w:r>
      <w:r w:rsidRPr="00C4679D">
        <w:rPr>
          <w:b/>
          <w:bCs/>
          <w:noProof/>
        </w:rPr>
        <w:t>2</w:t>
      </w:r>
      <w:r w:rsidRPr="00C4679D">
        <w:rPr>
          <w:b/>
          <w:bCs/>
        </w:rPr>
        <w:fldChar w:fldCharType="end"/>
      </w:r>
      <w:r w:rsidRPr="00C4679D">
        <w:rPr>
          <w:b/>
          <w:bCs/>
        </w:rPr>
        <w:t xml:space="preserve">: The UE feature is list in </w:t>
      </w:r>
      <w:r w:rsidRPr="00C4679D">
        <w:rPr>
          <w:b/>
          <w:bCs/>
        </w:rPr>
        <w:fldChar w:fldCharType="begin"/>
      </w:r>
      <w:r w:rsidRPr="00C4679D">
        <w:rPr>
          <w:b/>
          <w:bCs/>
        </w:rPr>
        <w:instrText xml:space="preserve"> REF _Ref197709905 \h </w:instrText>
      </w:r>
      <w:r w:rsidRPr="00C4679D">
        <w:rPr>
          <w:b/>
          <w:bCs/>
        </w:rPr>
      </w:r>
      <w:r>
        <w:rPr>
          <w:b/>
          <w:bCs/>
        </w:rPr>
        <w:instrText xml:space="preserve"> \* MERGEFORMAT </w:instrText>
      </w:r>
      <w:r w:rsidRPr="00C4679D">
        <w:rPr>
          <w:b/>
          <w:bCs/>
        </w:rPr>
        <w:fldChar w:fldCharType="separate"/>
      </w:r>
      <w:r w:rsidRPr="00C4679D">
        <w:rPr>
          <w:b/>
          <w:bCs/>
        </w:rPr>
        <w:t xml:space="preserve">Table </w:t>
      </w:r>
      <w:r w:rsidRPr="00C4679D">
        <w:rPr>
          <w:b/>
          <w:bCs/>
          <w:noProof/>
        </w:rPr>
        <w:t>1</w:t>
      </w:r>
      <w:r w:rsidRPr="00C4679D">
        <w:rPr>
          <w:b/>
          <w:bCs/>
        </w:rPr>
        <w:fldChar w:fldCharType="end"/>
      </w:r>
      <w:r>
        <w:rPr>
          <w:b/>
          <w:bCs/>
        </w:rPr>
        <w:t>.</w:t>
      </w:r>
    </w:p>
    <w:p w14:paraId="4FBB0423" w14:textId="08D8C657" w:rsidR="008A24D6" w:rsidRPr="00E63275" w:rsidRDefault="00C4679D" w:rsidP="008A24D6">
      <w:pPr>
        <w:pStyle w:val="a8"/>
        <w:jc w:val="center"/>
        <w:rPr>
          <w:b/>
          <w:bCs/>
        </w:rPr>
      </w:pPr>
      <w:bookmarkStart w:id="9" w:name="_Ref197709905"/>
      <w:r>
        <w:rPr>
          <w:b/>
          <w:bCs/>
        </w:rPr>
        <w:t>T</w:t>
      </w:r>
      <w:r w:rsidR="008A24D6" w:rsidRPr="00E63275">
        <w:rPr>
          <w:b/>
          <w:bCs/>
        </w:rPr>
        <w:t xml:space="preserve">able </w:t>
      </w:r>
      <w:r w:rsidR="008A24D6" w:rsidRPr="00E63275">
        <w:rPr>
          <w:b/>
          <w:bCs/>
        </w:rPr>
        <w:fldChar w:fldCharType="begin"/>
      </w:r>
      <w:r w:rsidR="008A24D6" w:rsidRPr="00E63275">
        <w:rPr>
          <w:b/>
          <w:bCs/>
        </w:rPr>
        <w:instrText xml:space="preserve"> SEQ Table \* ARABIC </w:instrText>
      </w:r>
      <w:r w:rsidR="008A24D6" w:rsidRPr="00E63275">
        <w:rPr>
          <w:b/>
          <w:bCs/>
        </w:rPr>
        <w:fldChar w:fldCharType="separate"/>
      </w:r>
      <w:r w:rsidR="008A24D6">
        <w:rPr>
          <w:b/>
          <w:bCs/>
          <w:noProof/>
        </w:rPr>
        <w:t>1</w:t>
      </w:r>
      <w:r w:rsidR="008A24D6" w:rsidRPr="00E63275">
        <w:rPr>
          <w:b/>
          <w:bCs/>
        </w:rPr>
        <w:fldChar w:fldCharType="end"/>
      </w:r>
      <w:bookmarkEnd w:id="9"/>
      <w:r w:rsidR="008A24D6" w:rsidRPr="00E63275">
        <w:rPr>
          <w:b/>
          <w:bCs/>
        </w:rPr>
        <w:t xml:space="preserve"> UE feature for </w:t>
      </w:r>
      <w:r w:rsidR="00051223">
        <w:rPr>
          <w:b/>
          <w:bCs/>
        </w:rPr>
        <w:t>LB CA via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576"/>
        <w:gridCol w:w="864"/>
        <w:gridCol w:w="1669"/>
        <w:gridCol w:w="488"/>
        <w:gridCol w:w="897"/>
        <w:gridCol w:w="901"/>
        <w:gridCol w:w="1106"/>
        <w:gridCol w:w="1185"/>
        <w:gridCol w:w="1167"/>
        <w:gridCol w:w="1167"/>
        <w:gridCol w:w="1144"/>
        <w:gridCol w:w="542"/>
        <w:gridCol w:w="1573"/>
      </w:tblGrid>
      <w:tr w:rsidR="00051223" w:rsidRPr="00BA5E7C" w14:paraId="6636573E" w14:textId="77777777" w:rsidTr="00C4679D">
        <w:trPr>
          <w:trHeight w:val="20"/>
        </w:trPr>
        <w:tc>
          <w:tcPr>
            <w:tcW w:w="1139" w:type="dxa"/>
            <w:tcBorders>
              <w:top w:val="single" w:sz="4" w:space="0" w:color="auto"/>
              <w:left w:val="single" w:sz="4" w:space="0" w:color="auto"/>
              <w:bottom w:val="single" w:sz="4" w:space="0" w:color="auto"/>
              <w:right w:val="single" w:sz="4" w:space="0" w:color="auto"/>
            </w:tcBorders>
            <w:hideMark/>
          </w:tcPr>
          <w:p w14:paraId="549A9C23" w14:textId="77777777" w:rsidR="008A24D6" w:rsidRDefault="008A24D6" w:rsidP="0088080C">
            <w:pPr>
              <w:pStyle w:val="TAH"/>
              <w:rPr>
                <w:rFonts w:asciiTheme="majorHAnsi" w:hAnsiTheme="majorHAnsi" w:cstheme="majorHAnsi"/>
                <w:color w:val="000000" w:themeColor="text1"/>
                <w:szCs w:val="18"/>
              </w:rPr>
            </w:pPr>
          </w:p>
          <w:p w14:paraId="4A64DA5C" w14:textId="77777777" w:rsidR="008A24D6" w:rsidRPr="00BA5E7C" w:rsidRDefault="008A24D6" w:rsidP="0088080C">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w:t>
            </w:r>
          </w:p>
        </w:tc>
        <w:tc>
          <w:tcPr>
            <w:tcW w:w="576" w:type="dxa"/>
            <w:tcBorders>
              <w:top w:val="single" w:sz="4" w:space="0" w:color="auto"/>
              <w:left w:val="single" w:sz="4" w:space="0" w:color="auto"/>
              <w:bottom w:val="single" w:sz="4" w:space="0" w:color="auto"/>
              <w:right w:val="single" w:sz="4" w:space="0" w:color="auto"/>
            </w:tcBorders>
            <w:hideMark/>
          </w:tcPr>
          <w:p w14:paraId="1A19C7A0"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864" w:type="dxa"/>
            <w:tcBorders>
              <w:top w:val="single" w:sz="4" w:space="0" w:color="auto"/>
              <w:left w:val="single" w:sz="4" w:space="0" w:color="auto"/>
              <w:bottom w:val="single" w:sz="4" w:space="0" w:color="auto"/>
              <w:right w:val="single" w:sz="4" w:space="0" w:color="auto"/>
            </w:tcBorders>
            <w:hideMark/>
          </w:tcPr>
          <w:p w14:paraId="6A0C148C"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1669" w:type="dxa"/>
            <w:tcBorders>
              <w:top w:val="single" w:sz="4" w:space="0" w:color="auto"/>
              <w:left w:val="single" w:sz="4" w:space="0" w:color="auto"/>
              <w:bottom w:val="single" w:sz="4" w:space="0" w:color="auto"/>
              <w:right w:val="single" w:sz="4" w:space="0" w:color="auto"/>
            </w:tcBorders>
            <w:hideMark/>
          </w:tcPr>
          <w:p w14:paraId="6C7D2D60"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488" w:type="dxa"/>
            <w:tcBorders>
              <w:top w:val="single" w:sz="4" w:space="0" w:color="auto"/>
              <w:left w:val="single" w:sz="4" w:space="0" w:color="auto"/>
              <w:bottom w:val="single" w:sz="4" w:space="0" w:color="auto"/>
              <w:right w:val="single" w:sz="4" w:space="0" w:color="auto"/>
            </w:tcBorders>
            <w:hideMark/>
          </w:tcPr>
          <w:p w14:paraId="1942B902"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897" w:type="dxa"/>
            <w:tcBorders>
              <w:top w:val="single" w:sz="4" w:space="0" w:color="auto"/>
              <w:left w:val="single" w:sz="4" w:space="0" w:color="auto"/>
              <w:bottom w:val="single" w:sz="4" w:space="0" w:color="auto"/>
              <w:right w:val="single" w:sz="4" w:space="0" w:color="auto"/>
            </w:tcBorders>
            <w:hideMark/>
          </w:tcPr>
          <w:p w14:paraId="2FC04264"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901" w:type="dxa"/>
            <w:tcBorders>
              <w:top w:val="single" w:sz="4" w:space="0" w:color="auto"/>
              <w:left w:val="single" w:sz="4" w:space="0" w:color="auto"/>
              <w:bottom w:val="single" w:sz="4" w:space="0" w:color="auto"/>
              <w:right w:val="single" w:sz="4" w:space="0" w:color="auto"/>
            </w:tcBorders>
            <w:hideMark/>
          </w:tcPr>
          <w:p w14:paraId="7DBFC6CC" w14:textId="77777777" w:rsidR="008A24D6" w:rsidRPr="000470AA" w:rsidRDefault="008A24D6" w:rsidP="0088080C">
            <w:pPr>
              <w:pStyle w:val="TAH"/>
              <w:rPr>
                <w:rFonts w:asciiTheme="majorHAnsi" w:eastAsia="Gulim"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0470AA">
              <w:rPr>
                <w:rFonts w:asciiTheme="majorHAnsi" w:eastAsia="Gulim" w:hAnsiTheme="majorHAnsi" w:cstheme="majorHAnsi"/>
                <w:color w:val="000000" w:themeColor="text1"/>
                <w:szCs w:val="18"/>
              </w:rPr>
              <w:t>the capability signalling exchange between UEs (Sidelink WI only)”.</w:t>
            </w:r>
          </w:p>
        </w:tc>
        <w:tc>
          <w:tcPr>
            <w:tcW w:w="1106" w:type="dxa"/>
            <w:tcBorders>
              <w:top w:val="single" w:sz="4" w:space="0" w:color="auto"/>
              <w:left w:val="single" w:sz="4" w:space="0" w:color="auto"/>
              <w:bottom w:val="single" w:sz="4" w:space="0" w:color="auto"/>
              <w:right w:val="single" w:sz="4" w:space="0" w:color="auto"/>
            </w:tcBorders>
            <w:hideMark/>
          </w:tcPr>
          <w:p w14:paraId="413A8375" w14:textId="77777777" w:rsidR="008A24D6" w:rsidRPr="00BA5E7C" w:rsidRDefault="008A24D6" w:rsidP="0088080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85" w:type="dxa"/>
            <w:tcBorders>
              <w:top w:val="single" w:sz="4" w:space="0" w:color="auto"/>
              <w:left w:val="single" w:sz="4" w:space="0" w:color="auto"/>
              <w:bottom w:val="single" w:sz="4" w:space="0" w:color="auto"/>
              <w:right w:val="single" w:sz="4" w:space="0" w:color="auto"/>
            </w:tcBorders>
            <w:hideMark/>
          </w:tcPr>
          <w:p w14:paraId="7CD20960" w14:textId="77777777" w:rsidR="008A24D6" w:rsidRPr="00BA5E7C" w:rsidRDefault="008A24D6" w:rsidP="0088080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0BE9AF8" w14:textId="77777777" w:rsidR="008A24D6" w:rsidRPr="00BA5E7C" w:rsidRDefault="008A24D6" w:rsidP="0088080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 xml:space="preserve">(the ‘type’ definition from UE features should be based on the granularity of 1) Per UE or 2) Per Band or 3) Per BC or 4) </w:t>
            </w:r>
            <w:r w:rsidRPr="000470AA">
              <w:rPr>
                <w:rFonts w:asciiTheme="majorHAnsi" w:hAnsiTheme="majorHAnsi" w:cstheme="majorHAnsi"/>
                <w:b/>
                <w:color w:val="000000" w:themeColor="text1"/>
                <w:szCs w:val="18"/>
                <w:lang w:eastAsia="ja-JP"/>
              </w:rPr>
              <w:t>Per FS or 5) Per FSPC)</w:t>
            </w:r>
          </w:p>
        </w:tc>
        <w:tc>
          <w:tcPr>
            <w:tcW w:w="1167" w:type="dxa"/>
            <w:tcBorders>
              <w:top w:val="single" w:sz="4" w:space="0" w:color="auto"/>
              <w:left w:val="single" w:sz="4" w:space="0" w:color="auto"/>
              <w:bottom w:val="single" w:sz="4" w:space="0" w:color="auto"/>
              <w:right w:val="single" w:sz="4" w:space="0" w:color="auto"/>
            </w:tcBorders>
            <w:hideMark/>
          </w:tcPr>
          <w:p w14:paraId="4B4BCF92"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167" w:type="dxa"/>
            <w:tcBorders>
              <w:top w:val="single" w:sz="4" w:space="0" w:color="auto"/>
              <w:left w:val="single" w:sz="4" w:space="0" w:color="auto"/>
              <w:bottom w:val="single" w:sz="4" w:space="0" w:color="auto"/>
              <w:right w:val="single" w:sz="4" w:space="0" w:color="auto"/>
            </w:tcBorders>
            <w:hideMark/>
          </w:tcPr>
          <w:p w14:paraId="3666E5B6"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144" w:type="dxa"/>
            <w:tcBorders>
              <w:top w:val="single" w:sz="4" w:space="0" w:color="auto"/>
              <w:left w:val="single" w:sz="4" w:space="0" w:color="auto"/>
              <w:bottom w:val="single" w:sz="4" w:space="0" w:color="auto"/>
              <w:right w:val="single" w:sz="4" w:space="0" w:color="auto"/>
            </w:tcBorders>
            <w:hideMark/>
          </w:tcPr>
          <w:p w14:paraId="24875082"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42" w:type="dxa"/>
            <w:tcBorders>
              <w:top w:val="single" w:sz="4" w:space="0" w:color="auto"/>
              <w:left w:val="single" w:sz="4" w:space="0" w:color="auto"/>
              <w:bottom w:val="single" w:sz="4" w:space="0" w:color="auto"/>
              <w:right w:val="single" w:sz="4" w:space="0" w:color="auto"/>
            </w:tcBorders>
            <w:hideMark/>
          </w:tcPr>
          <w:p w14:paraId="76285973"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573" w:type="dxa"/>
            <w:tcBorders>
              <w:top w:val="single" w:sz="4" w:space="0" w:color="auto"/>
              <w:left w:val="single" w:sz="4" w:space="0" w:color="auto"/>
              <w:bottom w:val="single" w:sz="4" w:space="0" w:color="auto"/>
              <w:right w:val="single" w:sz="4" w:space="0" w:color="auto"/>
            </w:tcBorders>
            <w:hideMark/>
          </w:tcPr>
          <w:p w14:paraId="04FC82E6" w14:textId="77777777" w:rsidR="008A24D6" w:rsidRPr="00BA5E7C" w:rsidRDefault="008A24D6" w:rsidP="0088080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51223" w:rsidRPr="00224C05" w14:paraId="37FCCE78" w14:textId="77777777" w:rsidTr="00C467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14:paraId="4DBDCD60" w14:textId="09A007EF"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 xml:space="preserve">X. </w:t>
            </w:r>
            <w:r w:rsidR="00051223" w:rsidRPr="00051223">
              <w:rPr>
                <w:rFonts w:ascii="Times New Roman" w:hAnsi="Times New Roman"/>
                <w:b w:val="0"/>
                <w:bCs/>
                <w:color w:val="000000" w:themeColor="text1"/>
                <w:sz w:val="16"/>
                <w:szCs w:val="16"/>
              </w:rPr>
              <w:t>NR_LBCA_Sw</w:t>
            </w:r>
          </w:p>
        </w:tc>
        <w:tc>
          <w:tcPr>
            <w:tcW w:w="576" w:type="dxa"/>
            <w:tcBorders>
              <w:top w:val="single" w:sz="4" w:space="0" w:color="auto"/>
              <w:left w:val="single" w:sz="4" w:space="0" w:color="auto"/>
              <w:bottom w:val="single" w:sz="4" w:space="0" w:color="auto"/>
              <w:right w:val="single" w:sz="4" w:space="0" w:color="auto"/>
            </w:tcBorders>
            <w:shd w:val="clear" w:color="auto" w:fill="auto"/>
            <w:hideMark/>
          </w:tcPr>
          <w:p w14:paraId="057CAC47"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w:t>
            </w:r>
            <w:r>
              <w:rPr>
                <w:rFonts w:ascii="Times New Roman" w:hAnsi="Times New Roman"/>
                <w:b w:val="0"/>
                <w:bCs/>
                <w:color w:val="000000" w:themeColor="text1"/>
                <w:sz w:val="16"/>
                <w:szCs w:val="16"/>
              </w:rPr>
              <w:t>1</w:t>
            </w:r>
          </w:p>
        </w:tc>
        <w:tc>
          <w:tcPr>
            <w:tcW w:w="864" w:type="dxa"/>
            <w:tcBorders>
              <w:top w:val="single" w:sz="4" w:space="0" w:color="auto"/>
              <w:left w:val="single" w:sz="4" w:space="0" w:color="auto"/>
              <w:bottom w:val="single" w:sz="4" w:space="0" w:color="auto"/>
              <w:right w:val="single" w:sz="4" w:space="0" w:color="auto"/>
            </w:tcBorders>
            <w:shd w:val="clear" w:color="auto" w:fill="auto"/>
            <w:hideMark/>
          </w:tcPr>
          <w:p w14:paraId="1AE9CF73" w14:textId="1DF55991" w:rsidR="008A24D6" w:rsidRPr="00224C05" w:rsidRDefault="00051223" w:rsidP="0088080C">
            <w:pPr>
              <w:pStyle w:val="TAH"/>
              <w:jc w:val="left"/>
              <w:rPr>
                <w:rFonts w:ascii="Times New Roman" w:hAnsi="Times New Roman"/>
                <w:b w:val="0"/>
                <w:bCs/>
                <w:color w:val="000000" w:themeColor="text1"/>
                <w:sz w:val="16"/>
                <w:szCs w:val="16"/>
              </w:rPr>
            </w:pPr>
            <w:r>
              <w:rPr>
                <w:rFonts w:ascii="Times New Roman" w:hAnsi="Times New Roman"/>
                <w:b w:val="0"/>
                <w:sz w:val="16"/>
                <w:szCs w:val="16"/>
              </w:rPr>
              <w:t>S</w:t>
            </w:r>
            <w:r w:rsidRPr="00051223">
              <w:rPr>
                <w:rFonts w:ascii="Times New Roman" w:hAnsi="Times New Roman"/>
                <w:b w:val="0"/>
                <w:sz w:val="16"/>
                <w:szCs w:val="16"/>
              </w:rPr>
              <w:t>upporting Low band CA via switching</w:t>
            </w:r>
          </w:p>
        </w:tc>
        <w:tc>
          <w:tcPr>
            <w:tcW w:w="1669" w:type="dxa"/>
            <w:tcBorders>
              <w:top w:val="single" w:sz="4" w:space="0" w:color="auto"/>
              <w:left w:val="single" w:sz="4" w:space="0" w:color="auto"/>
              <w:bottom w:val="single" w:sz="4" w:space="0" w:color="auto"/>
              <w:right w:val="single" w:sz="4" w:space="0" w:color="auto"/>
            </w:tcBorders>
            <w:shd w:val="clear" w:color="auto" w:fill="auto"/>
            <w:hideMark/>
          </w:tcPr>
          <w:p w14:paraId="16C83656" w14:textId="0FB70B12" w:rsidR="008A24D6" w:rsidRPr="00224C05" w:rsidRDefault="002575CC" w:rsidP="002575CC">
            <w:pPr>
              <w:pStyle w:val="TAH"/>
              <w:numPr>
                <w:ilvl w:val="0"/>
                <w:numId w:val="87"/>
              </w:numPr>
              <w:jc w:val="left"/>
              <w:rPr>
                <w:rFonts w:ascii="Times New Roman" w:hAnsi="Times New Roman"/>
                <w:b w:val="0"/>
                <w:bCs/>
                <w:color w:val="000000" w:themeColor="text1"/>
                <w:sz w:val="16"/>
                <w:szCs w:val="16"/>
              </w:rPr>
            </w:pPr>
            <w:r>
              <w:rPr>
                <w:rFonts w:ascii="Times New Roman" w:eastAsiaTheme="minorEastAsia" w:hAnsi="Times New Roman"/>
                <w:b w:val="0"/>
                <w:sz w:val="16"/>
                <w:szCs w:val="16"/>
                <w:lang w:val="en-GB" w:eastAsia="zh-CN"/>
              </w:rPr>
              <w:t>S</w:t>
            </w:r>
            <w:r w:rsidR="008A24D6" w:rsidRPr="00224C05">
              <w:rPr>
                <w:rFonts w:ascii="Times New Roman" w:eastAsiaTheme="minorEastAsia" w:hAnsi="Times New Roman"/>
                <w:b w:val="0"/>
                <w:sz w:val="16"/>
                <w:szCs w:val="16"/>
                <w:lang w:val="en-GB" w:eastAsia="zh-CN"/>
              </w:rPr>
              <w:t xml:space="preserve">upport </w:t>
            </w:r>
            <w:r>
              <w:rPr>
                <w:rFonts w:ascii="Times New Roman" w:eastAsiaTheme="minorEastAsia" w:hAnsi="Times New Roman"/>
                <w:b w:val="0"/>
                <w:sz w:val="16"/>
                <w:szCs w:val="16"/>
                <w:lang w:val="en-GB" w:eastAsia="zh-CN"/>
              </w:rPr>
              <w:t xml:space="preserve">of </w:t>
            </w:r>
            <w:r>
              <w:rPr>
                <w:rFonts w:ascii="Times New Roman" w:hAnsi="Times New Roman"/>
                <w:b w:val="0"/>
                <w:sz w:val="16"/>
                <w:szCs w:val="16"/>
              </w:rPr>
              <w:t>L</w:t>
            </w:r>
            <w:r w:rsidR="00051223" w:rsidRPr="00051223">
              <w:rPr>
                <w:rFonts w:ascii="Times New Roman" w:hAnsi="Times New Roman"/>
                <w:b w:val="0"/>
                <w:sz w:val="16"/>
                <w:szCs w:val="16"/>
              </w:rPr>
              <w:t>ow band CA via switching</w:t>
            </w:r>
            <w:r w:rsidR="00051223">
              <w:rPr>
                <w:rFonts w:ascii="Times New Roman" w:hAnsi="Times New Roman"/>
                <w:b w:val="0"/>
                <w:sz w:val="16"/>
                <w:szCs w:val="16"/>
              </w:rPr>
              <w:t xml:space="preserve"> with </w:t>
            </w:r>
            <w:r>
              <w:rPr>
                <w:rFonts w:ascii="Times New Roman" w:hAnsi="Times New Roman"/>
                <w:b w:val="0"/>
                <w:sz w:val="16"/>
                <w:szCs w:val="16"/>
              </w:rPr>
              <w:t>a</w:t>
            </w:r>
            <w:r w:rsidR="00051223">
              <w:rPr>
                <w:rFonts w:ascii="Times New Roman" w:hAnsi="Times New Roman"/>
                <w:b w:val="0"/>
                <w:sz w:val="16"/>
                <w:szCs w:val="16"/>
              </w:rPr>
              <w:t xml:space="preserve"> switching pattern</w:t>
            </w:r>
            <w:r>
              <w:rPr>
                <w:rFonts w:ascii="Times New Roman" w:hAnsi="Times New Roman"/>
                <w:b w:val="0"/>
                <w:sz w:val="16"/>
                <w:szCs w:val="16"/>
              </w:rPr>
              <w:t xml:space="preserve"> configured by RRC</w:t>
            </w:r>
            <w:r w:rsidR="00051223">
              <w:rPr>
                <w:rFonts w:ascii="Times New Roman" w:hAnsi="Times New Roman"/>
                <w:b w:val="0"/>
                <w:sz w:val="16"/>
                <w:szCs w:val="16"/>
              </w:rPr>
              <w:t>.</w:t>
            </w:r>
          </w:p>
          <w:p w14:paraId="55E8AEAC" w14:textId="7C305F9E" w:rsidR="008A24D6" w:rsidRPr="00C4679D" w:rsidRDefault="002575CC" w:rsidP="00051223">
            <w:pPr>
              <w:pStyle w:val="TAH"/>
              <w:numPr>
                <w:ilvl w:val="0"/>
                <w:numId w:val="87"/>
              </w:numPr>
              <w:jc w:val="left"/>
              <w:rPr>
                <w:rFonts w:ascii="Times New Roman" w:hAnsi="Times New Roman"/>
                <w:b w:val="0"/>
                <w:bCs/>
                <w:color w:val="000000" w:themeColor="text1"/>
                <w:sz w:val="16"/>
                <w:szCs w:val="16"/>
              </w:rPr>
            </w:pPr>
            <w:r>
              <w:rPr>
                <w:rFonts w:ascii="Times New Roman" w:eastAsiaTheme="minorEastAsia" w:hAnsi="Times New Roman"/>
                <w:b w:val="0"/>
                <w:sz w:val="16"/>
                <w:szCs w:val="16"/>
                <w:lang w:val="en-GB" w:eastAsia="zh-CN"/>
              </w:rPr>
              <w:t>A</w:t>
            </w:r>
            <w:r w:rsidRPr="00051223">
              <w:rPr>
                <w:rFonts w:ascii="Times New Roman" w:eastAsiaTheme="minorEastAsia" w:hAnsi="Times New Roman"/>
                <w:b w:val="0"/>
                <w:sz w:val="16"/>
                <w:szCs w:val="16"/>
                <w:lang w:val="en-GB" w:eastAsia="zh-CN"/>
              </w:rPr>
              <w:t xml:space="preserve"> </w:t>
            </w:r>
            <w:r w:rsidR="00051223" w:rsidRPr="00051223">
              <w:rPr>
                <w:rFonts w:ascii="Times New Roman" w:eastAsiaTheme="minorEastAsia" w:hAnsi="Times New Roman"/>
                <w:b w:val="0"/>
                <w:sz w:val="16"/>
                <w:szCs w:val="16"/>
                <w:lang w:val="en-GB" w:eastAsia="zh-CN"/>
              </w:rPr>
              <w:t>restriction of maximum X switch(es) within Y slot(s).</w:t>
            </w:r>
            <w:r w:rsidR="00051223">
              <w:rPr>
                <w:rFonts w:ascii="Times New Roman" w:eastAsiaTheme="minorEastAsia" w:hAnsi="Times New Roman"/>
                <w:b w:val="0"/>
                <w:sz w:val="16"/>
                <w:szCs w:val="16"/>
                <w:lang w:val="en-GB" w:eastAsia="zh-CN"/>
              </w:rPr>
              <w:t xml:space="preserve"> </w:t>
            </w:r>
            <w:r w:rsidR="00051223" w:rsidRPr="00051223">
              <w:rPr>
                <w:rFonts w:ascii="Times New Roman" w:eastAsiaTheme="minorEastAsia" w:hAnsi="Times New Roman"/>
                <w:b w:val="0"/>
                <w:sz w:val="16"/>
                <w:szCs w:val="16"/>
                <w:lang w:val="en-GB" w:eastAsia="zh-CN"/>
              </w:rPr>
              <w:t>FFS: the value of X and Y.</w:t>
            </w:r>
          </w:p>
          <w:p w14:paraId="3081E3A8" w14:textId="25B718EB" w:rsidR="005B2087" w:rsidRPr="00224C05" w:rsidRDefault="005B2087" w:rsidP="00051223">
            <w:pPr>
              <w:pStyle w:val="TAH"/>
              <w:numPr>
                <w:ilvl w:val="0"/>
                <w:numId w:val="87"/>
              </w:numPr>
              <w:jc w:val="left"/>
              <w:rPr>
                <w:rFonts w:ascii="Times New Roman" w:hAnsi="Times New Roman"/>
                <w:b w:val="0"/>
                <w:bCs/>
                <w:color w:val="000000" w:themeColor="text1"/>
                <w:sz w:val="16"/>
                <w:szCs w:val="16"/>
              </w:rPr>
            </w:pPr>
            <w:r w:rsidRPr="005B2087">
              <w:rPr>
                <w:rFonts w:ascii="Times New Roman" w:hAnsi="Times New Roman"/>
                <w:b w:val="0"/>
                <w:bCs/>
                <w:color w:val="000000" w:themeColor="text1"/>
                <w:sz w:val="16"/>
                <w:szCs w:val="16"/>
              </w:rPr>
              <w:t>The configured switching pattern shall guarantee that UE does not stay continuously on SDL carrier for longer than 15 slots.</w:t>
            </w:r>
          </w:p>
        </w:tc>
        <w:tc>
          <w:tcPr>
            <w:tcW w:w="488" w:type="dxa"/>
            <w:tcBorders>
              <w:top w:val="single" w:sz="4" w:space="0" w:color="auto"/>
              <w:left w:val="single" w:sz="4" w:space="0" w:color="auto"/>
              <w:bottom w:val="single" w:sz="4" w:space="0" w:color="auto"/>
              <w:right w:val="single" w:sz="4" w:space="0" w:color="auto"/>
            </w:tcBorders>
            <w:shd w:val="clear" w:color="auto" w:fill="auto"/>
            <w:hideMark/>
          </w:tcPr>
          <w:p w14:paraId="0207721C" w14:textId="337DD111" w:rsidR="008A24D6" w:rsidRPr="00224C05" w:rsidRDefault="00051223"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897" w:type="dxa"/>
            <w:tcBorders>
              <w:top w:val="single" w:sz="4" w:space="0" w:color="auto"/>
              <w:left w:val="single" w:sz="4" w:space="0" w:color="auto"/>
              <w:bottom w:val="single" w:sz="4" w:space="0" w:color="auto"/>
              <w:right w:val="single" w:sz="4" w:space="0" w:color="auto"/>
            </w:tcBorders>
            <w:shd w:val="clear" w:color="auto" w:fill="auto"/>
            <w:hideMark/>
          </w:tcPr>
          <w:p w14:paraId="72B159FC"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18D61322" w14:textId="467B3F7E" w:rsidR="008A24D6" w:rsidRPr="00224C05" w:rsidRDefault="0085168E" w:rsidP="0088080C">
            <w:pPr>
              <w:pStyle w:val="TAH"/>
              <w:rPr>
                <w:rFonts w:ascii="Times New Roman" w:eastAsia="Gulim" w:hAnsi="Times New Roman"/>
                <w:b w:val="0"/>
                <w:bCs/>
                <w:color w:val="000000" w:themeColor="text1"/>
                <w:sz w:val="16"/>
                <w:szCs w:val="16"/>
              </w:rPr>
            </w:pPr>
            <w:r>
              <w:rPr>
                <w:rFonts w:asciiTheme="minorEastAsia" w:eastAsiaTheme="minorEastAsia" w:hAnsiTheme="minorEastAsia" w:hint="eastAsia"/>
                <w:b w:val="0"/>
                <w:bCs/>
                <w:color w:val="000000" w:themeColor="text1"/>
                <w:sz w:val="16"/>
                <w:szCs w:val="16"/>
                <w:lang w:eastAsia="zh-CN"/>
              </w:rPr>
              <w:t>N/A</w:t>
            </w:r>
          </w:p>
        </w:tc>
        <w:tc>
          <w:tcPr>
            <w:tcW w:w="1106" w:type="dxa"/>
            <w:tcBorders>
              <w:top w:val="single" w:sz="4" w:space="0" w:color="auto"/>
              <w:left w:val="single" w:sz="4" w:space="0" w:color="auto"/>
              <w:bottom w:val="single" w:sz="4" w:space="0" w:color="auto"/>
              <w:right w:val="single" w:sz="4" w:space="0" w:color="auto"/>
            </w:tcBorders>
            <w:shd w:val="clear" w:color="auto" w:fill="auto"/>
            <w:hideMark/>
          </w:tcPr>
          <w:p w14:paraId="67A8D032" w14:textId="2628FE4B" w:rsidR="008A24D6" w:rsidRPr="003C5116" w:rsidRDefault="008A24D6" w:rsidP="0088080C">
            <w:pPr>
              <w:rPr>
                <w:bCs/>
                <w:sz w:val="16"/>
                <w:szCs w:val="16"/>
              </w:rPr>
            </w:pPr>
            <w:r w:rsidRPr="00591E01">
              <w:rPr>
                <w:rFonts w:eastAsia="MS Mincho"/>
                <w:bCs/>
                <w:sz w:val="16"/>
                <w:szCs w:val="16"/>
              </w:rPr>
              <w:t>UE does not support</w:t>
            </w:r>
            <w:r w:rsidRPr="00B804F8">
              <w:rPr>
                <w:sz w:val="16"/>
                <w:szCs w:val="16"/>
              </w:rPr>
              <w:t xml:space="preserve"> </w:t>
            </w:r>
            <w:r w:rsidR="00051223" w:rsidRPr="00051223">
              <w:rPr>
                <w:sz w:val="16"/>
                <w:szCs w:val="16"/>
              </w:rPr>
              <w:t>Low band CA via switching</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52480DFE" w14:textId="77777777" w:rsidR="008A24D6" w:rsidRPr="00224C05" w:rsidRDefault="008A24D6" w:rsidP="0088080C">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314D9E78"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09C5293B"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144" w:type="dxa"/>
            <w:tcBorders>
              <w:top w:val="single" w:sz="4" w:space="0" w:color="auto"/>
              <w:left w:val="single" w:sz="4" w:space="0" w:color="auto"/>
              <w:bottom w:val="single" w:sz="4" w:space="0" w:color="auto"/>
              <w:right w:val="single" w:sz="4" w:space="0" w:color="auto"/>
            </w:tcBorders>
            <w:shd w:val="clear" w:color="auto" w:fill="auto"/>
            <w:hideMark/>
          </w:tcPr>
          <w:p w14:paraId="6BCB626B"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542" w:type="dxa"/>
            <w:tcBorders>
              <w:top w:val="single" w:sz="4" w:space="0" w:color="auto"/>
              <w:left w:val="single" w:sz="4" w:space="0" w:color="auto"/>
              <w:bottom w:val="single" w:sz="4" w:space="0" w:color="auto"/>
              <w:right w:val="single" w:sz="4" w:space="0" w:color="auto"/>
            </w:tcBorders>
            <w:shd w:val="clear" w:color="auto" w:fill="auto"/>
            <w:hideMark/>
          </w:tcPr>
          <w:p w14:paraId="748BA698" w14:textId="50D69A75" w:rsidR="008A24D6" w:rsidRPr="00224C05" w:rsidRDefault="005B2087" w:rsidP="00C4679D">
            <w:pPr>
              <w:pStyle w:val="TAH"/>
              <w:jc w:val="left"/>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 xml:space="preserve">This UE feature applies to the band combination </w:t>
            </w:r>
            <w:r w:rsidRPr="00C4679D">
              <w:rPr>
                <w:rFonts w:ascii="Times New Roman" w:hAnsi="Times New Roman"/>
                <w:b w:val="0"/>
                <w:bCs/>
                <w:color w:val="000000" w:themeColor="text1"/>
                <w:sz w:val="16"/>
                <w:szCs w:val="16"/>
              </w:rPr>
              <w:t>CA_n5A-n29A</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2C82FBA6" w14:textId="77777777" w:rsidR="008A24D6" w:rsidRPr="00224C05" w:rsidRDefault="008A24D6" w:rsidP="0088080C">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bl>
    <w:p w14:paraId="042661DF" w14:textId="009C2844" w:rsidR="00664931" w:rsidRPr="006F30AF" w:rsidRDefault="00664931" w:rsidP="006F30AF">
      <w:pPr>
        <w:rPr>
          <w:rFonts w:eastAsia="MS Mincho"/>
          <w:sz w:val="16"/>
          <w:szCs w:val="20"/>
        </w:rPr>
        <w:sectPr w:rsidR="00664931" w:rsidRPr="006F30AF" w:rsidSect="00C4679D">
          <w:pgSz w:w="16838" w:h="11906" w:orient="landscape"/>
          <w:pgMar w:top="1418" w:right="992" w:bottom="1418" w:left="1418" w:header="709" w:footer="709" w:gutter="0"/>
          <w:cols w:space="708"/>
          <w:docGrid w:linePitch="360"/>
        </w:sectPr>
      </w:pPr>
    </w:p>
    <w:p w14:paraId="3B9190D3" w14:textId="77777777" w:rsidR="00664931" w:rsidRDefault="00664931" w:rsidP="006F30AF">
      <w:pPr>
        <w:rPr>
          <w:rFonts w:eastAsia="MS Mincho"/>
          <w:sz w:val="16"/>
          <w:szCs w:val="20"/>
        </w:rPr>
      </w:pPr>
    </w:p>
    <w:p w14:paraId="3F07EE96" w14:textId="77777777" w:rsidR="00051223" w:rsidRPr="00051223" w:rsidRDefault="00051223" w:rsidP="00051223">
      <w:pPr>
        <w:rPr>
          <w:rFonts w:eastAsia="MS Mincho"/>
          <w:sz w:val="16"/>
          <w:szCs w:val="20"/>
        </w:rPr>
      </w:pPr>
    </w:p>
    <w:p w14:paraId="1EB0380E" w14:textId="77777777" w:rsidR="00051223" w:rsidRPr="00051223" w:rsidRDefault="00051223" w:rsidP="00051223">
      <w:pPr>
        <w:rPr>
          <w:rFonts w:eastAsia="MS Mincho"/>
          <w:sz w:val="16"/>
          <w:szCs w:val="20"/>
        </w:rPr>
      </w:pPr>
    </w:p>
    <w:bookmarkEnd w:id="7"/>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73611385" w14:textId="77777777" w:rsidR="008A24D6" w:rsidRPr="00824310" w:rsidRDefault="008A24D6" w:rsidP="008A24D6">
      <w:pPr>
        <w:pStyle w:val="af9"/>
        <w:widowControl/>
        <w:numPr>
          <w:ilvl w:val="0"/>
          <w:numId w:val="6"/>
        </w:numPr>
        <w:spacing w:before="240"/>
        <w:ind w:firstLineChars="0"/>
        <w:jc w:val="left"/>
        <w:rPr>
          <w:rFonts w:ascii="Times New Roman" w:hAnsi="Times New Roman"/>
          <w:sz w:val="20"/>
          <w:szCs w:val="20"/>
        </w:rPr>
      </w:pPr>
      <w:bookmarkStart w:id="10" w:name="_Ref194061991"/>
      <w:bookmarkStart w:id="11" w:name="_Ref157084635"/>
      <w:bookmarkStart w:id="12" w:name="_Ref157525197"/>
      <w:bookmarkStart w:id="13" w:name="_Ref142657016"/>
      <w:bookmarkStart w:id="14" w:name="_Ref131424148"/>
      <w:bookmarkStart w:id="15" w:name="_Ref146274094"/>
      <w:bookmarkStart w:id="16" w:name="_Ref188517524"/>
      <w:bookmarkStart w:id="17" w:name="_Ref178245799"/>
      <w:r w:rsidRPr="00824310">
        <w:rPr>
          <w:rFonts w:ascii="Times New Roman" w:hAnsi="Times New Roman"/>
          <w:sz w:val="20"/>
          <w:szCs w:val="20"/>
        </w:rPr>
        <w:t xml:space="preserve">RP-243317 </w:t>
      </w:r>
      <w:r w:rsidRPr="00824310">
        <w:rPr>
          <w:rFonts w:ascii="Times New Roman" w:hAnsi="Times New Roman"/>
          <w:sz w:val="20"/>
          <w:szCs w:val="20"/>
        </w:rPr>
        <w:tab/>
        <w:t>New WID on low band carrier aggregation via switching</w:t>
      </w:r>
      <w:bookmarkEnd w:id="10"/>
    </w:p>
    <w:bookmarkEnd w:id="11"/>
    <w:bookmarkEnd w:id="12"/>
    <w:bookmarkEnd w:id="13"/>
    <w:bookmarkEnd w:id="14"/>
    <w:bookmarkEnd w:id="15"/>
    <w:bookmarkEnd w:id="16"/>
    <w:bookmarkEnd w:id="17"/>
    <w:p w14:paraId="31D6B86D" w14:textId="2592EFC7" w:rsidR="00181581" w:rsidRPr="00C83953" w:rsidRDefault="00181581" w:rsidP="00976515">
      <w:pPr>
        <w:pStyle w:val="a1"/>
        <w:ind w:left="420"/>
        <w:rPr>
          <w:rFonts w:eastAsia="宋体"/>
          <w:lang w:eastAsia="zh-CN"/>
        </w:rPr>
      </w:pPr>
    </w:p>
    <w:sectPr w:rsidR="00181581" w:rsidRPr="00C83953" w:rsidSect="00E63275">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0EAF7" w14:textId="77777777" w:rsidR="00257B88" w:rsidRDefault="00257B88">
      <w:r>
        <w:separator/>
      </w:r>
    </w:p>
  </w:endnote>
  <w:endnote w:type="continuationSeparator" w:id="0">
    <w:p w14:paraId="7E7F7BD8" w14:textId="77777777" w:rsidR="00257B88" w:rsidRDefault="00257B88">
      <w:r>
        <w:continuationSeparator/>
      </w:r>
    </w:p>
  </w:endnote>
  <w:endnote w:type="continuationNotice" w:id="1">
    <w:p w14:paraId="6BBE6E54" w14:textId="77777777" w:rsidR="00257B88" w:rsidRDefault="00257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3293" w14:textId="77777777" w:rsidR="00257B88" w:rsidRDefault="00257B88">
      <w:r>
        <w:separator/>
      </w:r>
    </w:p>
  </w:footnote>
  <w:footnote w:type="continuationSeparator" w:id="0">
    <w:p w14:paraId="3C037A9B" w14:textId="77777777" w:rsidR="00257B88" w:rsidRDefault="00257B88">
      <w:r>
        <w:continuationSeparator/>
      </w:r>
    </w:p>
  </w:footnote>
  <w:footnote w:type="continuationNotice" w:id="1">
    <w:p w14:paraId="0779E260" w14:textId="77777777" w:rsidR="00257B88" w:rsidRDefault="00257B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44180"/>
    <w:multiLevelType w:val="hybridMultilevel"/>
    <w:tmpl w:val="1870CB3A"/>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0B4E6569"/>
    <w:multiLevelType w:val="hybridMultilevel"/>
    <w:tmpl w:val="983CC1E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33270A"/>
    <w:multiLevelType w:val="hybridMultilevel"/>
    <w:tmpl w:val="D098D8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36670A2"/>
    <w:multiLevelType w:val="hybridMultilevel"/>
    <w:tmpl w:val="A8A8AD4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0A5523"/>
    <w:multiLevelType w:val="hybridMultilevel"/>
    <w:tmpl w:val="AE70A70E"/>
    <w:lvl w:ilvl="0" w:tplc="C65C5534">
      <w:start w:val="2"/>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15C7D92"/>
    <w:multiLevelType w:val="hybridMultilevel"/>
    <w:tmpl w:val="126615C8"/>
    <w:lvl w:ilvl="0" w:tplc="FA4AA136">
      <w:start w:val="1"/>
      <w:numFmt w:val="decimal"/>
      <w:lvlText w:val="%1."/>
      <w:lvlJc w:val="left"/>
      <w:pPr>
        <w:ind w:left="360" w:hanging="360"/>
      </w:pPr>
      <w:rPr>
        <w:rFonts w:ascii="Times New Roman" w:eastAsiaTheme="minorEastAsia" w:hAnsi="Times New Roman" w:cs="Times New Roman"/>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B173B23"/>
    <w:multiLevelType w:val="hybridMultilevel"/>
    <w:tmpl w:val="DFB6DF2A"/>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9E5C34"/>
    <w:multiLevelType w:val="hybridMultilevel"/>
    <w:tmpl w:val="074659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4D91582"/>
    <w:multiLevelType w:val="hybridMultilevel"/>
    <w:tmpl w:val="21284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E86570"/>
    <w:multiLevelType w:val="hybridMultilevel"/>
    <w:tmpl w:val="AA4CBED6"/>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5" w15:restartNumberingAfterBreak="0">
    <w:nsid w:val="5975143B"/>
    <w:multiLevelType w:val="hybridMultilevel"/>
    <w:tmpl w:val="9E824CC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9" w15:restartNumberingAfterBreak="0">
    <w:nsid w:val="6B9E5610"/>
    <w:multiLevelType w:val="hybridMultilevel"/>
    <w:tmpl w:val="DB9A4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1"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89"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1"/>
  </w:num>
  <w:num w:numId="2">
    <w:abstractNumId w:val="64"/>
  </w:num>
  <w:num w:numId="3">
    <w:abstractNumId w:val="85"/>
  </w:num>
  <w:num w:numId="4">
    <w:abstractNumId w:val="51"/>
  </w:num>
  <w:num w:numId="5">
    <w:abstractNumId w:val="80"/>
  </w:num>
  <w:num w:numId="6">
    <w:abstractNumId w:val="93"/>
  </w:num>
  <w:num w:numId="7">
    <w:abstractNumId w:val="63"/>
  </w:num>
  <w:num w:numId="8">
    <w:abstractNumId w:val="68"/>
  </w:num>
  <w:num w:numId="9">
    <w:abstractNumId w:val="6"/>
  </w:num>
  <w:num w:numId="10">
    <w:abstractNumId w:val="59"/>
  </w:num>
  <w:num w:numId="11">
    <w:abstractNumId w:val="90"/>
  </w:num>
  <w:num w:numId="12">
    <w:abstractNumId w:val="50"/>
  </w:num>
  <w:num w:numId="13">
    <w:abstractNumId w:val="36"/>
  </w:num>
  <w:num w:numId="14">
    <w:abstractNumId w:val="2"/>
  </w:num>
  <w:num w:numId="15">
    <w:abstractNumId w:val="73"/>
  </w:num>
  <w:num w:numId="16">
    <w:abstractNumId w:val="53"/>
  </w:num>
  <w:num w:numId="17">
    <w:abstractNumId w:val="25"/>
  </w:num>
  <w:num w:numId="18">
    <w:abstractNumId w:val="57"/>
  </w:num>
  <w:num w:numId="19">
    <w:abstractNumId w:val="10"/>
  </w:num>
  <w:num w:numId="20">
    <w:abstractNumId w:val="88"/>
  </w:num>
  <w:num w:numId="21">
    <w:abstractNumId w:val="61"/>
  </w:num>
  <w:num w:numId="22">
    <w:abstractNumId w:val="3"/>
  </w:num>
  <w:num w:numId="23">
    <w:abstractNumId w:val="87"/>
  </w:num>
  <w:num w:numId="24">
    <w:abstractNumId w:val="0"/>
  </w:num>
  <w:num w:numId="25">
    <w:abstractNumId w:val="62"/>
  </w:num>
  <w:num w:numId="26">
    <w:abstractNumId w:val="38"/>
  </w:num>
  <w:num w:numId="27">
    <w:abstractNumId w:val="56"/>
  </w:num>
  <w:num w:numId="28">
    <w:abstractNumId w:val="46"/>
  </w:num>
  <w:num w:numId="29">
    <w:abstractNumId w:val="41"/>
  </w:num>
  <w:num w:numId="30">
    <w:abstractNumId w:val="35"/>
  </w:num>
  <w:num w:numId="31">
    <w:abstractNumId w:val="4"/>
  </w:num>
  <w:num w:numId="32">
    <w:abstractNumId w:val="92"/>
  </w:num>
  <w:num w:numId="33">
    <w:abstractNumId w:val="83"/>
  </w:num>
  <w:num w:numId="34">
    <w:abstractNumId w:val="19"/>
  </w:num>
  <w:num w:numId="35">
    <w:abstractNumId w:val="94"/>
  </w:num>
  <w:num w:numId="36">
    <w:abstractNumId w:val="37"/>
  </w:num>
  <w:num w:numId="37">
    <w:abstractNumId w:val="86"/>
  </w:num>
  <w:num w:numId="38">
    <w:abstractNumId w:val="31"/>
  </w:num>
  <w:num w:numId="39">
    <w:abstractNumId w:val="70"/>
  </w:num>
  <w:num w:numId="40">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74"/>
  </w:num>
  <w:num w:numId="43">
    <w:abstractNumId w:val="60"/>
  </w:num>
  <w:num w:numId="44">
    <w:abstractNumId w:val="23"/>
  </w:num>
  <w:num w:numId="45">
    <w:abstractNumId w:val="9"/>
  </w:num>
  <w:num w:numId="46">
    <w:abstractNumId w:val="40"/>
  </w:num>
  <w:num w:numId="47">
    <w:abstractNumId w:val="5"/>
  </w:num>
  <w:num w:numId="48">
    <w:abstractNumId w:val="78"/>
  </w:num>
  <w:num w:numId="49">
    <w:abstractNumId w:val="48"/>
  </w:num>
  <w:num w:numId="50">
    <w:abstractNumId w:val="28"/>
  </w:num>
  <w:num w:numId="51">
    <w:abstractNumId w:val="69"/>
  </w:num>
  <w:num w:numId="52">
    <w:abstractNumId w:val="81"/>
  </w:num>
  <w:num w:numId="53">
    <w:abstractNumId w:val="16"/>
  </w:num>
  <w:num w:numId="54">
    <w:abstractNumId w:val="18"/>
  </w:num>
  <w:num w:numId="55">
    <w:abstractNumId w:val="49"/>
  </w:num>
  <w:num w:numId="56">
    <w:abstractNumId w:val="32"/>
  </w:num>
  <w:num w:numId="57">
    <w:abstractNumId w:val="1"/>
  </w:num>
  <w:num w:numId="58">
    <w:abstractNumId w:val="43"/>
  </w:num>
  <w:num w:numId="59">
    <w:abstractNumId w:val="22"/>
  </w:num>
  <w:num w:numId="60">
    <w:abstractNumId w:val="89"/>
  </w:num>
  <w:num w:numId="61">
    <w:abstractNumId w:val="72"/>
  </w:num>
  <w:num w:numId="62">
    <w:abstractNumId w:val="21"/>
  </w:num>
  <w:num w:numId="63">
    <w:abstractNumId w:val="45"/>
  </w:num>
  <w:num w:numId="64">
    <w:abstractNumId w:val="66"/>
  </w:num>
  <w:num w:numId="65">
    <w:abstractNumId w:val="8"/>
  </w:num>
  <w:num w:numId="66">
    <w:abstractNumId w:val="67"/>
  </w:num>
  <w:num w:numId="67">
    <w:abstractNumId w:val="54"/>
  </w:num>
  <w:num w:numId="68">
    <w:abstractNumId w:val="71"/>
  </w:num>
  <w:num w:numId="69">
    <w:abstractNumId w:val="27"/>
  </w:num>
  <w:num w:numId="70">
    <w:abstractNumId w:val="75"/>
  </w:num>
  <w:num w:numId="71">
    <w:abstractNumId w:val="17"/>
  </w:num>
  <w:num w:numId="72">
    <w:abstractNumId w:val="14"/>
  </w:num>
  <w:num w:numId="73">
    <w:abstractNumId w:val="58"/>
  </w:num>
  <w:num w:numId="74">
    <w:abstractNumId w:val="84"/>
  </w:num>
  <w:num w:numId="75">
    <w:abstractNumId w:val="13"/>
  </w:num>
  <w:num w:numId="76">
    <w:abstractNumId w:val="29"/>
  </w:num>
  <w:num w:numId="77">
    <w:abstractNumId w:val="82"/>
  </w:num>
  <w:num w:numId="78">
    <w:abstractNumId w:val="52"/>
  </w:num>
  <w:num w:numId="79">
    <w:abstractNumId w:val="55"/>
  </w:num>
  <w:num w:numId="80">
    <w:abstractNumId w:val="77"/>
  </w:num>
  <w:num w:numId="81">
    <w:abstractNumId w:val="76"/>
  </w:num>
  <w:num w:numId="82">
    <w:abstractNumId w:val="30"/>
  </w:num>
  <w:num w:numId="83">
    <w:abstractNumId w:val="47"/>
  </w:num>
  <w:num w:numId="84">
    <w:abstractNumId w:val="42"/>
  </w:num>
  <w:num w:numId="85">
    <w:abstractNumId w:val="79"/>
  </w:num>
  <w:num w:numId="86">
    <w:abstractNumId w:val="15"/>
  </w:num>
  <w:num w:numId="87">
    <w:abstractNumId w:val="26"/>
  </w:num>
  <w:num w:numId="88">
    <w:abstractNumId w:val="11"/>
  </w:num>
  <w:num w:numId="89">
    <w:abstractNumId w:val="65"/>
  </w:num>
  <w:num w:numId="90">
    <w:abstractNumId w:val="7"/>
  </w:num>
  <w:num w:numId="91">
    <w:abstractNumId w:val="34"/>
  </w:num>
  <w:num w:numId="92">
    <w:abstractNumId w:val="24"/>
  </w:num>
  <w:num w:numId="93">
    <w:abstractNumId w:val="44"/>
  </w:num>
  <w:num w:numId="94">
    <w:abstractNumId w:val="12"/>
  </w:num>
  <w:num w:numId="95">
    <w:abstractNumId w:val="33"/>
  </w:num>
  <w:num w:numId="96">
    <w:abstractNumId w:val="2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65"/>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0AA"/>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223"/>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A08"/>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17A"/>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9D4"/>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0FCA"/>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1F52"/>
    <w:rsid w:val="00142066"/>
    <w:rsid w:val="001420E2"/>
    <w:rsid w:val="001421D0"/>
    <w:rsid w:val="0014227B"/>
    <w:rsid w:val="0014227F"/>
    <w:rsid w:val="001426D9"/>
    <w:rsid w:val="0014270A"/>
    <w:rsid w:val="00142905"/>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2CF"/>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AC"/>
    <w:rsid w:val="001F35DD"/>
    <w:rsid w:val="001F38EF"/>
    <w:rsid w:val="001F3BA0"/>
    <w:rsid w:val="001F3C10"/>
    <w:rsid w:val="001F3DD0"/>
    <w:rsid w:val="001F3E71"/>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CCE"/>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83C"/>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05"/>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5CC"/>
    <w:rsid w:val="00257634"/>
    <w:rsid w:val="002576D0"/>
    <w:rsid w:val="00257752"/>
    <w:rsid w:val="0025776D"/>
    <w:rsid w:val="0025784C"/>
    <w:rsid w:val="00257B88"/>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7C5"/>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35B"/>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A80"/>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0DF"/>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5A1"/>
    <w:rsid w:val="002F2685"/>
    <w:rsid w:val="002F280F"/>
    <w:rsid w:val="002F2A5C"/>
    <w:rsid w:val="002F2A9C"/>
    <w:rsid w:val="002F2ABF"/>
    <w:rsid w:val="002F2B0A"/>
    <w:rsid w:val="002F2ED6"/>
    <w:rsid w:val="002F309B"/>
    <w:rsid w:val="002F3228"/>
    <w:rsid w:val="002F35BE"/>
    <w:rsid w:val="002F3870"/>
    <w:rsid w:val="002F38BD"/>
    <w:rsid w:val="002F3AC9"/>
    <w:rsid w:val="002F3AED"/>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502"/>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68"/>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57E"/>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34"/>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116"/>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72A"/>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9A5"/>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1F99"/>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E01"/>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87"/>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28"/>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C9E"/>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3D"/>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A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7FC"/>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6C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CF0"/>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08"/>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B55"/>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382"/>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8E"/>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8D0"/>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1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4D6"/>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CDE"/>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3D2"/>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36"/>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C13"/>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3FB6"/>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4F10"/>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3F6"/>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5E29"/>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7D4"/>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01"/>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5A"/>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14E"/>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4F8"/>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2B3"/>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22"/>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79D"/>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6E"/>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CDA"/>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79"/>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16"/>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07"/>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6D"/>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19A"/>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9F1"/>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275"/>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A1"/>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27"/>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40"/>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2F77"/>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SGS Table Basic 1"/>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 ds:uri="98194d48-cc26-4b7e-909f-baa95c83abfa"/>
    <ds:schemaRef ds:uri="1c248485-b98a-4513-a581-ff7cb1688d78"/>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BEF0F9EA-C0C3-4DB9-9205-6868DC56F87E}">
  <ds:schemaRefs>
    <ds:schemaRef ds:uri="http://schemas.openxmlformats.org/officeDocument/2006/bibliography"/>
  </ds:schemaRefs>
</ds:datastoreItem>
</file>

<file path=customXml/itemProps4.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7354</TotalTime>
  <Pages>4</Pages>
  <Words>582</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124</cp:revision>
  <cp:lastPrinted>2024-11-05T04:11:00Z</cp:lastPrinted>
  <dcterms:created xsi:type="dcterms:W3CDTF">2024-09-18T09:22:00Z</dcterms:created>
  <dcterms:modified xsi:type="dcterms:W3CDTF">2025-05-09T11:05:00Z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